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56A0" w:rsidRPr="007F56A0" w:rsidRDefault="007F56A0" w:rsidP="007F56A0">
      <w:pPr>
        <w:widowControl/>
        <w:spacing w:line="475" w:lineRule="atLeast"/>
        <w:jc w:val="center"/>
        <w:rPr>
          <w:rFonts w:ascii="宋体" w:eastAsia="宋体" w:hAnsi="宋体" w:cs="宋体"/>
          <w:color w:val="1966A7"/>
          <w:kern w:val="0"/>
          <w:sz w:val="33"/>
          <w:szCs w:val="33"/>
        </w:rPr>
      </w:pPr>
      <w:r w:rsidRPr="007F56A0">
        <w:rPr>
          <w:rFonts w:ascii="宋体" w:eastAsia="宋体" w:hAnsi="宋体" w:cs="宋体"/>
          <w:color w:val="1966A7"/>
          <w:kern w:val="0"/>
          <w:sz w:val="33"/>
          <w:szCs w:val="33"/>
        </w:rPr>
        <w:t>国家卫生计生委办公厅关于印发造血干细胞移植技术管理规范（2017年版）等15个“限制临床应用”医疗技术管理规范和质量控制指标的通知</w:t>
      </w:r>
    </w:p>
    <w:p w:rsidR="007F56A0" w:rsidRPr="007F56A0" w:rsidRDefault="007F56A0" w:rsidP="007F56A0">
      <w:pPr>
        <w:widowControl/>
        <w:spacing w:line="360" w:lineRule="auto"/>
        <w:jc w:val="center"/>
        <w:rPr>
          <w:rFonts w:ascii="仿宋_GB2312" w:eastAsia="仿宋_GB2312" w:hAnsi="宋体" w:cs="宋体"/>
          <w:color w:val="474646"/>
          <w:kern w:val="0"/>
          <w:sz w:val="32"/>
          <w:szCs w:val="32"/>
        </w:rPr>
      </w:pPr>
      <w:r w:rsidRPr="007F56A0">
        <w:rPr>
          <w:rFonts w:ascii="仿宋_GB2312" w:eastAsia="仿宋_GB2312" w:hAnsi="宋体" w:cs="宋体" w:hint="eastAsia"/>
          <w:color w:val="474646"/>
          <w:kern w:val="0"/>
          <w:sz w:val="32"/>
          <w:szCs w:val="32"/>
        </w:rPr>
        <w:t>国卫办医发〔2017〕7号</w:t>
      </w:r>
    </w:p>
    <w:p w:rsidR="007F56A0" w:rsidRPr="007F56A0" w:rsidRDefault="007F56A0" w:rsidP="007F56A0">
      <w:pPr>
        <w:widowControl/>
        <w:spacing w:line="360" w:lineRule="auto"/>
        <w:jc w:val="left"/>
        <w:rPr>
          <w:rFonts w:ascii="仿宋_GB2312" w:eastAsia="仿宋_GB2312" w:hAnsi="宋体" w:cs="宋体" w:hint="eastAsia"/>
          <w:color w:val="474646"/>
          <w:kern w:val="0"/>
          <w:sz w:val="32"/>
          <w:szCs w:val="32"/>
        </w:rPr>
      </w:pPr>
      <w:r w:rsidRPr="007F56A0">
        <w:rPr>
          <w:rFonts w:ascii="仿宋_GB2312" w:eastAsia="仿宋_GB2312" w:hAnsi="宋体" w:cs="宋体" w:hint="eastAsia"/>
          <w:color w:val="474646"/>
          <w:kern w:val="0"/>
          <w:sz w:val="32"/>
          <w:szCs w:val="32"/>
        </w:rPr>
        <w:t> </w:t>
      </w:r>
    </w:p>
    <w:p w:rsidR="007F56A0" w:rsidRPr="007F56A0" w:rsidRDefault="007F56A0" w:rsidP="007F56A0">
      <w:pPr>
        <w:widowControl/>
        <w:spacing w:after="320"/>
        <w:rPr>
          <w:rFonts w:ascii="仿宋_GB2312" w:eastAsia="仿宋_GB2312" w:hAnsi="宋体" w:cs="宋体" w:hint="eastAsia"/>
          <w:color w:val="474646"/>
          <w:kern w:val="0"/>
          <w:sz w:val="32"/>
          <w:szCs w:val="32"/>
        </w:rPr>
      </w:pPr>
      <w:r w:rsidRPr="007F56A0">
        <w:rPr>
          <w:rFonts w:ascii="仿宋_GB2312" w:eastAsia="仿宋_GB2312" w:hAnsi="宋体" w:cs="宋体" w:hint="eastAsia"/>
          <w:color w:val="474646"/>
          <w:kern w:val="0"/>
          <w:sz w:val="32"/>
          <w:szCs w:val="32"/>
        </w:rPr>
        <w:t xml:space="preserve">各省、自治区、直辖市卫生计生委，新疆生产建设兵团卫生局： </w:t>
      </w:r>
      <w:r w:rsidRPr="007F56A0">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sidRPr="007F56A0">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sidRPr="007F56A0">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7F56A0" w:rsidRDefault="007F56A0" w:rsidP="007F56A0">
      <w:pPr>
        <w:pStyle w:val="a6"/>
        <w:spacing w:before="0" w:beforeAutospacing="0" w:after="0" w:afterAutospacing="0"/>
        <w:jc w:val="right"/>
        <w:rPr>
          <w:rFonts w:ascii="仿宋_GB2312" w:eastAsia="仿宋_GB2312"/>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4C3DAE" w:rsidRPr="001E5E04" w:rsidRDefault="004C3DAE" w:rsidP="004C3DAE">
      <w:pPr>
        <w:spacing w:line="360" w:lineRule="auto"/>
        <w:jc w:val="left"/>
        <w:rPr>
          <w:rFonts w:ascii="黑体" w:eastAsia="黑体" w:hAnsi="黑体"/>
          <w:sz w:val="28"/>
          <w:szCs w:val="28"/>
        </w:rPr>
      </w:pPr>
      <w:r w:rsidRPr="001E5E04">
        <w:rPr>
          <w:rFonts w:ascii="黑体" w:eastAsia="黑体" w:hAnsi="黑体" w:hint="eastAsia"/>
          <w:sz w:val="28"/>
          <w:szCs w:val="28"/>
        </w:rPr>
        <w:t>附件1</w:t>
      </w:r>
    </w:p>
    <w:p w:rsidR="004C3DAE" w:rsidRDefault="004C3DAE" w:rsidP="004C3DAE">
      <w:pPr>
        <w:jc w:val="center"/>
        <w:rPr>
          <w:b/>
          <w:sz w:val="44"/>
          <w:szCs w:val="44"/>
        </w:rPr>
      </w:pPr>
      <w:r>
        <w:rPr>
          <w:rFonts w:hint="eastAsia"/>
          <w:b/>
          <w:sz w:val="44"/>
          <w:szCs w:val="44"/>
        </w:rPr>
        <w:t>造血干细胞移植技术管理规范</w:t>
      </w:r>
    </w:p>
    <w:p w:rsidR="004C3DAE" w:rsidRDefault="004C3DAE" w:rsidP="004C3DAE">
      <w:pPr>
        <w:shd w:val="clear" w:color="auto" w:fill="FFFFFF"/>
        <w:adjustRightInd w:val="0"/>
        <w:snapToGrid w:val="0"/>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F924C7">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017763">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4C3DAE" w:rsidRDefault="004C3DAE" w:rsidP="004C3DAE">
      <w:pPr>
        <w:shd w:val="clear" w:color="auto" w:fill="FFFFFF"/>
        <w:adjustRightInd w:val="0"/>
        <w:snapToGrid w:val="0"/>
        <w:jc w:val="center"/>
        <w:rPr>
          <w:rFonts w:ascii="楷体_GB2312" w:eastAsia="楷体_GB2312" w:hAnsi="宋体" w:cs="宋体"/>
          <w:b/>
          <w:color w:val="000000"/>
          <w:kern w:val="0"/>
          <w:sz w:val="32"/>
          <w:szCs w:val="32"/>
        </w:rPr>
      </w:pP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int="eastAsia"/>
          <w:sz w:val="32"/>
          <w:szCs w:val="32"/>
        </w:rPr>
        <w:t>为规范造血干细胞移植技术的临床应用，保证医疗质量和医疗安全，制定本规范。本规范</w:t>
      </w:r>
      <w:r>
        <w:rPr>
          <w:rFonts w:ascii="仿宋_GB2312" w:eastAsia="仿宋_GB2312" w:hAnsi="宋体" w:hint="eastAsia"/>
          <w:sz w:val="32"/>
          <w:szCs w:val="32"/>
        </w:rPr>
        <w:t>是医疗机构及其医务人员</w:t>
      </w:r>
      <w:r>
        <w:rPr>
          <w:rFonts w:ascii="仿宋_GB2312" w:eastAsia="仿宋_GB2312" w:hAnsi="宋体" w:hint="eastAsia"/>
          <w:sz w:val="32"/>
          <w:szCs w:val="32"/>
        </w:rPr>
        <w:lastRenderedPageBreak/>
        <w:t>开展</w:t>
      </w:r>
      <w:r>
        <w:rPr>
          <w:rFonts w:ascii="仿宋_GB2312" w:eastAsia="仿宋_GB2312" w:hint="eastAsia"/>
          <w:sz w:val="32"/>
          <w:szCs w:val="32"/>
        </w:rPr>
        <w:t>造血干细胞移植技术</w:t>
      </w:r>
      <w:r>
        <w:rPr>
          <w:rFonts w:ascii="仿宋_GB2312" w:eastAsia="仿宋_GB2312" w:hAnsi="宋体" w:hint="eastAsia"/>
          <w:sz w:val="32"/>
          <w:szCs w:val="32"/>
        </w:rPr>
        <w:t>的最低要求。</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本规范适用于应用同种异基因造血干细胞移植技术治疗血液系统疾病，其造血干细胞来源包括血缘（HLA</w:t>
      </w:r>
      <w:r w:rsidR="00017763">
        <w:rPr>
          <w:rFonts w:ascii="仿宋_GB2312" w:eastAsia="仿宋_GB2312" w:hAnsi="宋体" w:hint="eastAsia"/>
          <w:sz w:val="32"/>
          <w:szCs w:val="32"/>
        </w:rPr>
        <w:t>全</w:t>
      </w:r>
      <w:r>
        <w:rPr>
          <w:rFonts w:ascii="仿宋_GB2312" w:eastAsia="仿宋_GB2312" w:hAnsi="宋体" w:hint="eastAsia"/>
          <w:sz w:val="32"/>
          <w:szCs w:val="32"/>
        </w:rPr>
        <w:t>相合或者单倍型相合）和非血缘供者的骨髓、外周血或脐带血。</w:t>
      </w:r>
    </w:p>
    <w:p w:rsidR="004C3DAE" w:rsidRDefault="004C3DAE" w:rsidP="004C3DAE">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一、医疗机构基本要求</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（一）医疗机构开展</w:t>
      </w:r>
      <w:r w:rsidRPr="00E30CBD">
        <w:rPr>
          <w:rFonts w:ascii="仿宋_GB2312" w:eastAsia="仿宋_GB2312" w:hint="eastAsia"/>
          <w:sz w:val="32"/>
          <w:szCs w:val="32"/>
        </w:rPr>
        <w:t>造血干细胞移植技术</w:t>
      </w:r>
      <w:r>
        <w:rPr>
          <w:rFonts w:ascii="仿宋_GB2312" w:eastAsia="仿宋_GB2312" w:hint="eastAsia"/>
          <w:sz w:val="32"/>
          <w:szCs w:val="32"/>
        </w:rPr>
        <w:t>应当与其功能、任务和技术能力相适应，有合法</w:t>
      </w:r>
      <w:r w:rsidR="004B0804">
        <w:rPr>
          <w:rFonts w:ascii="仿宋_GB2312" w:eastAsia="仿宋_GB2312" w:hint="eastAsia"/>
          <w:sz w:val="32"/>
          <w:szCs w:val="32"/>
        </w:rPr>
        <w:t>的</w:t>
      </w:r>
      <w:r>
        <w:rPr>
          <w:rFonts w:ascii="仿宋_GB2312" w:eastAsia="仿宋_GB2312" w:hint="eastAsia"/>
          <w:sz w:val="32"/>
          <w:szCs w:val="32"/>
        </w:rPr>
        <w:t>造血干细胞来源。</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（二）有卫生计生行政部门核准登记的血液内科或儿科及相关专业诊疗科目。</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（三）开展</w:t>
      </w:r>
      <w:r w:rsidRPr="00E30CBD">
        <w:rPr>
          <w:rFonts w:ascii="仿宋_GB2312" w:eastAsia="仿宋_GB2312" w:hint="eastAsia"/>
          <w:sz w:val="32"/>
          <w:szCs w:val="32"/>
        </w:rPr>
        <w:t>造血干细胞移植治疗技术</w:t>
      </w:r>
      <w:r>
        <w:rPr>
          <w:rFonts w:ascii="仿宋_GB2312" w:eastAsia="仿宋_GB2312" w:hint="eastAsia"/>
          <w:sz w:val="32"/>
          <w:szCs w:val="32"/>
        </w:rPr>
        <w:t>的科室应当具备以下条件：</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1.有百级层流病房床位</w:t>
      </w:r>
      <w:r w:rsidR="00017763">
        <w:rPr>
          <w:rFonts w:ascii="仿宋_GB2312" w:eastAsia="仿宋_GB2312" w:hint="eastAsia"/>
          <w:sz w:val="32"/>
          <w:szCs w:val="32"/>
        </w:rPr>
        <w:t>4</w:t>
      </w:r>
      <w:r>
        <w:rPr>
          <w:rFonts w:ascii="仿宋_GB2312" w:eastAsia="仿宋_GB2312" w:hint="eastAsia"/>
          <w:sz w:val="32"/>
          <w:szCs w:val="32"/>
        </w:rPr>
        <w:t>张以上，配备患者呼叫系统、心电监护仪、</w:t>
      </w:r>
      <w:r w:rsidR="00017763">
        <w:rPr>
          <w:rFonts w:ascii="仿宋_GB2312" w:eastAsia="仿宋_GB2312" w:hint="eastAsia"/>
          <w:sz w:val="32"/>
          <w:szCs w:val="32"/>
        </w:rPr>
        <w:t>外周血干细胞采集机、流式细胞仪、</w:t>
      </w:r>
      <w:r>
        <w:rPr>
          <w:rFonts w:ascii="仿宋_GB2312" w:eastAsia="仿宋_GB2312" w:hint="eastAsia"/>
          <w:sz w:val="32"/>
          <w:szCs w:val="32"/>
        </w:rPr>
        <w:t>电动吸引器</w:t>
      </w:r>
      <w:r w:rsidR="00017763">
        <w:rPr>
          <w:rFonts w:ascii="仿宋_GB2312" w:eastAsia="仿宋_GB2312" w:hint="eastAsia"/>
          <w:sz w:val="32"/>
          <w:szCs w:val="32"/>
        </w:rPr>
        <w:t>或中心负压吸引系统</w:t>
      </w:r>
      <w:r>
        <w:rPr>
          <w:rFonts w:ascii="仿宋_GB2312" w:eastAsia="仿宋_GB2312" w:hint="eastAsia"/>
          <w:sz w:val="32"/>
          <w:szCs w:val="32"/>
        </w:rPr>
        <w:t>、供氧设施。</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2.成人血液内科开展儿童造血干细胞移植技术的，还应当至少有1名具有副主任医师以上专业技术职务任职资格的</w:t>
      </w:r>
      <w:r w:rsidR="004B0804">
        <w:rPr>
          <w:rFonts w:ascii="仿宋_GB2312" w:eastAsia="仿宋_GB2312" w:hint="eastAsia"/>
          <w:sz w:val="32"/>
          <w:szCs w:val="32"/>
        </w:rPr>
        <w:t>本医疗机构</w:t>
      </w:r>
      <w:r>
        <w:rPr>
          <w:rFonts w:ascii="仿宋_GB2312" w:eastAsia="仿宋_GB2312" w:hint="eastAsia"/>
          <w:sz w:val="32"/>
          <w:szCs w:val="32"/>
        </w:rPr>
        <w:t>儿科医师。</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3.医疗机构应当在完成5例同胞全相合异基因造血干细胞移植术后，方可开展非血缘、脐带血</w:t>
      </w:r>
      <w:r w:rsidR="0031564A">
        <w:rPr>
          <w:rFonts w:ascii="仿宋_GB2312" w:eastAsia="仿宋_GB2312" w:hint="eastAsia"/>
          <w:sz w:val="32"/>
          <w:szCs w:val="32"/>
        </w:rPr>
        <w:t>或者</w:t>
      </w:r>
      <w:r>
        <w:rPr>
          <w:rFonts w:ascii="仿宋_GB2312" w:eastAsia="仿宋_GB2312" w:hint="eastAsia"/>
          <w:sz w:val="32"/>
          <w:szCs w:val="32"/>
        </w:rPr>
        <w:t>配型不合造血干细胞移植。</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（四）其他相关科室。</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1.开展</w:t>
      </w:r>
      <w:r w:rsidRPr="00E30CBD">
        <w:rPr>
          <w:rFonts w:ascii="仿宋_GB2312" w:eastAsia="仿宋_GB2312" w:hint="eastAsia"/>
          <w:sz w:val="32"/>
          <w:szCs w:val="32"/>
        </w:rPr>
        <w:t>造血干细胞移植技术</w:t>
      </w:r>
      <w:r>
        <w:rPr>
          <w:rFonts w:ascii="仿宋_GB2312" w:eastAsia="仿宋_GB2312" w:hint="eastAsia"/>
          <w:sz w:val="32"/>
          <w:szCs w:val="32"/>
        </w:rPr>
        <w:t>的，应当具有质量控制和质</w:t>
      </w:r>
      <w:r>
        <w:rPr>
          <w:rFonts w:ascii="仿宋_GB2312" w:eastAsia="仿宋_GB2312" w:hint="eastAsia"/>
          <w:sz w:val="32"/>
          <w:szCs w:val="32"/>
        </w:rPr>
        <w:lastRenderedPageBreak/>
        <w:t>量评价措施的实验室或有固定协作关系的实验室，能够进行造血干细胞活性检测、有核细胞计数、CD34</w:t>
      </w:r>
      <w:r>
        <w:rPr>
          <w:rFonts w:ascii="仿宋_GB2312" w:eastAsia="仿宋_GB2312" w:hint="eastAsia"/>
          <w:sz w:val="32"/>
          <w:szCs w:val="32"/>
          <w:vertAlign w:val="superscript"/>
        </w:rPr>
        <w:t>＋</w:t>
      </w:r>
      <w:r>
        <w:rPr>
          <w:rFonts w:ascii="仿宋_GB2312" w:eastAsia="仿宋_GB2312" w:hint="eastAsia"/>
          <w:sz w:val="32"/>
          <w:szCs w:val="32"/>
        </w:rPr>
        <w:t>细胞计数和HLA组织配型，具备免疫抑制剂的血药浓度监测能力。造血干细胞移植技术所需的相关检验项目参加</w:t>
      </w:r>
      <w:r w:rsidR="004B0804">
        <w:rPr>
          <w:rFonts w:ascii="仿宋_GB2312" w:eastAsia="仿宋_GB2312" w:hint="eastAsia"/>
          <w:sz w:val="32"/>
          <w:szCs w:val="32"/>
        </w:rPr>
        <w:t>省级及以上</w:t>
      </w:r>
      <w:r>
        <w:rPr>
          <w:rFonts w:ascii="仿宋_GB2312" w:eastAsia="仿宋_GB2312" w:hint="eastAsia"/>
          <w:sz w:val="32"/>
          <w:szCs w:val="32"/>
        </w:rPr>
        <w:t>卫生计生委指定的室间质量评价机构的室间质量评价并合格。</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 xml:space="preserve">2.有微生物检测及相关诊断检验、血液学和病理学常规检测、细胞遗传学分析条件和能力，或与具备上述条件和能力的实验室有固定协作关系。 </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3.全身放射治疗（TBI）做预处理时，有放射治疗科或有固定协作关系的放射治疗科，能够实施分次或者单次全身放射治疗，能够实施放射剂量测量。</w:t>
      </w:r>
    </w:p>
    <w:p w:rsidR="004C3DAE" w:rsidRDefault="004C3DAE" w:rsidP="004C3DAE">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 xml:space="preserve">二、人员基本要求 </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（一）开展造血干细胞移植技术的医师。</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1.取得《医师执业证书》，执业范围为内科或儿科</w:t>
      </w:r>
      <w:r w:rsidRPr="000F5814">
        <w:rPr>
          <w:rFonts w:ascii="仿宋_GB2312" w:eastAsia="仿宋_GB2312" w:hAnsi="宋体" w:hint="eastAsia"/>
          <w:sz w:val="32"/>
          <w:szCs w:val="32"/>
        </w:rPr>
        <w:t>专业</w:t>
      </w:r>
      <w:r>
        <w:rPr>
          <w:rFonts w:ascii="仿宋_GB2312" w:eastAsia="仿宋_GB2312" w:hAnsi="宋体" w:hint="eastAsia"/>
          <w:sz w:val="32"/>
          <w:szCs w:val="32"/>
        </w:rPr>
        <w:t>的</w:t>
      </w:r>
      <w:r w:rsidRPr="000F5814">
        <w:rPr>
          <w:rFonts w:ascii="仿宋_GB2312" w:eastAsia="仿宋_GB2312" w:hAnsi="宋体" w:hint="eastAsia"/>
          <w:sz w:val="32"/>
          <w:szCs w:val="32"/>
        </w:rPr>
        <w:t>本</w:t>
      </w:r>
      <w:r>
        <w:rPr>
          <w:rFonts w:ascii="仿宋_GB2312" w:eastAsia="仿宋_GB2312" w:hAnsi="宋体" w:hint="eastAsia"/>
          <w:sz w:val="32"/>
          <w:szCs w:val="32"/>
        </w:rPr>
        <w:t>医疗机构</w:t>
      </w:r>
      <w:r w:rsidRPr="000F5814">
        <w:rPr>
          <w:rFonts w:ascii="仿宋_GB2312" w:eastAsia="仿宋_GB2312" w:hAnsi="宋体" w:hint="eastAsia"/>
          <w:sz w:val="32"/>
          <w:szCs w:val="32"/>
        </w:rPr>
        <w:t>在职医师。</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有10年以上血液内科或儿科领域临床诊疗工作经验、参与造血干细胞移植工作5年以上，有造血干细胞移植合并症的诊断和处理能力。造血干细胞移植治疗工作的负责人还应当具有副主任医师以上专业技术职务任职资格。</w:t>
      </w:r>
      <w:r w:rsidR="00017763">
        <w:rPr>
          <w:rFonts w:ascii="仿宋_GB2312" w:eastAsia="仿宋_GB2312" w:hint="eastAsia"/>
          <w:sz w:val="32"/>
          <w:szCs w:val="32"/>
        </w:rPr>
        <w:t>负责异基因造血干细胞移植工作的医师应当具有高级专业技术职务任职资格。</w:t>
      </w:r>
    </w:p>
    <w:p w:rsidR="004C3DAE" w:rsidRDefault="004C3DAE" w:rsidP="004C3DAE">
      <w:pPr>
        <w:adjustRightInd w:val="0"/>
        <w:snapToGrid w:val="0"/>
        <w:spacing w:line="360" w:lineRule="auto"/>
        <w:ind w:firstLineChars="200" w:firstLine="640"/>
        <w:rPr>
          <w:rFonts w:ascii="仿宋_GB2312" w:eastAsia="仿宋_GB2312"/>
          <w:sz w:val="32"/>
          <w:szCs w:val="32"/>
          <w:highlight w:val="yellow"/>
        </w:rPr>
      </w:pPr>
      <w:r>
        <w:rPr>
          <w:rFonts w:ascii="仿宋_GB2312" w:eastAsia="仿宋_GB2312" w:hint="eastAsia"/>
          <w:sz w:val="32"/>
          <w:szCs w:val="32"/>
        </w:rPr>
        <w:t>3.经过</w:t>
      </w:r>
      <w:r w:rsidR="0031564A">
        <w:rPr>
          <w:rFonts w:ascii="仿宋_GB2312" w:eastAsia="仿宋_GB2312" w:hint="eastAsia"/>
          <w:sz w:val="32"/>
          <w:szCs w:val="32"/>
        </w:rPr>
        <w:t>省级卫生计生行政部门指定的培训基地关于</w:t>
      </w:r>
      <w:r>
        <w:rPr>
          <w:rFonts w:ascii="仿宋_GB2312" w:eastAsia="仿宋_GB2312" w:hint="eastAsia"/>
          <w:sz w:val="32"/>
          <w:szCs w:val="32"/>
        </w:rPr>
        <w:t>造</w:t>
      </w:r>
      <w:r>
        <w:rPr>
          <w:rFonts w:ascii="仿宋_GB2312" w:eastAsia="仿宋_GB2312" w:hint="eastAsia"/>
          <w:sz w:val="32"/>
          <w:szCs w:val="32"/>
        </w:rPr>
        <w:lastRenderedPageBreak/>
        <w:t>血干细胞移植技术相关系统培训</w:t>
      </w:r>
      <w:r w:rsidR="0031564A">
        <w:rPr>
          <w:rFonts w:ascii="仿宋_GB2312" w:eastAsia="仿宋_GB2312" w:hint="eastAsia"/>
          <w:sz w:val="32"/>
          <w:szCs w:val="32"/>
        </w:rPr>
        <w:t>，具备开展造血干细胞移植技术</w:t>
      </w:r>
      <w:r w:rsidR="0016293A">
        <w:rPr>
          <w:rFonts w:ascii="仿宋_GB2312" w:eastAsia="仿宋_GB2312" w:hint="eastAsia"/>
          <w:sz w:val="32"/>
          <w:szCs w:val="32"/>
        </w:rPr>
        <w:t>临床应用</w:t>
      </w:r>
      <w:r w:rsidR="0031564A">
        <w:rPr>
          <w:rFonts w:ascii="仿宋_GB2312" w:eastAsia="仿宋_GB2312" w:hint="eastAsia"/>
          <w:sz w:val="32"/>
          <w:szCs w:val="32"/>
        </w:rPr>
        <w:t>的能力</w:t>
      </w:r>
      <w:r>
        <w:rPr>
          <w:rFonts w:ascii="仿宋_GB2312" w:eastAsia="仿宋_GB2312" w:hint="eastAsia"/>
          <w:sz w:val="32"/>
          <w:szCs w:val="32"/>
        </w:rPr>
        <w:t>。</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小于10张百级层流病房床位的科室，应当配备3名以上经过造血干细胞移植技术培训合格的执业医师，并按照护士与床位比2:1配备护士；大于等于10张百级层流病房床位的科室，应配备5名以上经过造血干细胞移植技术培训合格的执业医师，并按照护士与床位比1.7:1配备护士。</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（二）其他相关卫生专业技术人员。</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经过造血干细胞移植治疗技术</w:t>
      </w:r>
      <w:r>
        <w:rPr>
          <w:rFonts w:ascii="仿宋_GB2312" w:eastAsia="仿宋_GB2312" w:hAnsi="宋体" w:hint="eastAsia"/>
          <w:spacing w:val="20"/>
          <w:sz w:val="32"/>
          <w:szCs w:val="32"/>
        </w:rPr>
        <w:t>相关专业系统培训</w:t>
      </w:r>
      <w:r w:rsidR="009E7F4F">
        <w:rPr>
          <w:rFonts w:ascii="仿宋_GB2312" w:eastAsia="仿宋_GB2312" w:hAnsi="宋体" w:hint="eastAsia"/>
          <w:spacing w:val="20"/>
          <w:sz w:val="32"/>
          <w:szCs w:val="32"/>
        </w:rPr>
        <w:t>,满足开展</w:t>
      </w:r>
      <w:r w:rsidR="009E7F4F">
        <w:rPr>
          <w:rFonts w:ascii="仿宋_GB2312" w:eastAsia="仿宋_GB2312" w:hint="eastAsia"/>
          <w:sz w:val="32"/>
          <w:szCs w:val="32"/>
        </w:rPr>
        <w:t>造血干细胞移植治疗技术临床应用所需的相关条件</w:t>
      </w:r>
      <w:r>
        <w:rPr>
          <w:rFonts w:ascii="仿宋_GB2312" w:eastAsia="仿宋_GB2312" w:hint="eastAsia"/>
          <w:sz w:val="32"/>
          <w:szCs w:val="32"/>
        </w:rPr>
        <w:t>。</w:t>
      </w:r>
    </w:p>
    <w:p w:rsidR="004C3DAE" w:rsidRDefault="004C3DAE" w:rsidP="004C3DAE">
      <w:pPr>
        <w:adjustRightInd w:val="0"/>
        <w:snapToGrid w:val="0"/>
        <w:spacing w:line="360" w:lineRule="auto"/>
        <w:ind w:firstLineChars="200" w:firstLine="640"/>
        <w:rPr>
          <w:rFonts w:ascii="黑体" w:eastAsia="黑体"/>
          <w:sz w:val="32"/>
          <w:szCs w:val="32"/>
        </w:rPr>
      </w:pPr>
      <w:r>
        <w:rPr>
          <w:rFonts w:ascii="黑体" w:eastAsia="黑体" w:hint="eastAsia"/>
          <w:sz w:val="32"/>
          <w:szCs w:val="32"/>
        </w:rPr>
        <w:t xml:space="preserve">三、技术管理基本要求 </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（一）严格遵守造血干细胞移植技术操作规范和诊疗指南，严格掌握造血干细胞移植技术</w:t>
      </w:r>
      <w:r w:rsidRPr="000F5814">
        <w:rPr>
          <w:rFonts w:ascii="仿宋_GB2312" w:eastAsia="仿宋_GB2312" w:hAnsi="宋体" w:hint="eastAsia"/>
          <w:sz w:val="32"/>
          <w:szCs w:val="32"/>
        </w:rPr>
        <w:t>适应</w:t>
      </w:r>
      <w:r>
        <w:rPr>
          <w:rFonts w:ascii="仿宋_GB2312" w:eastAsia="仿宋_GB2312" w:hAnsi="宋体" w:hint="eastAsia"/>
          <w:sz w:val="32"/>
          <w:szCs w:val="32"/>
        </w:rPr>
        <w:t>证</w:t>
      </w:r>
      <w:r w:rsidRPr="000F5814">
        <w:rPr>
          <w:rFonts w:ascii="仿宋_GB2312" w:eastAsia="仿宋_GB2312" w:hAnsi="宋体" w:hint="eastAsia"/>
          <w:sz w:val="32"/>
          <w:szCs w:val="32"/>
        </w:rPr>
        <w:t>和禁忌</w:t>
      </w:r>
      <w:r>
        <w:rPr>
          <w:rFonts w:ascii="仿宋_GB2312" w:eastAsia="仿宋_GB2312" w:hAnsi="宋体" w:hint="eastAsia"/>
          <w:sz w:val="32"/>
          <w:szCs w:val="32"/>
        </w:rPr>
        <w:t>证</w:t>
      </w:r>
      <w:r>
        <w:rPr>
          <w:rFonts w:ascii="仿宋_GB2312" w:eastAsia="仿宋_GB2312" w:hint="eastAsia"/>
          <w:sz w:val="32"/>
          <w:szCs w:val="32"/>
        </w:rPr>
        <w:t>。</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1.造血干细胞移植技术适用于治疗以下血液系统疾病：</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（1）恶性疾病：急性白血病、慢性白血病、骨髓增生异常综合征、多发性骨髓瘤、淋巴瘤及其他某些恶性肿瘤等。</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（2）非恶性疾病：再生障碍性贫血、重症放射病</w:t>
      </w:r>
      <w:r w:rsidR="00017763">
        <w:rPr>
          <w:rFonts w:ascii="仿宋_GB2312" w:eastAsia="仿宋_GB2312" w:hint="eastAsia"/>
          <w:sz w:val="32"/>
          <w:szCs w:val="32"/>
        </w:rPr>
        <w:t>、重型地中海贫血</w:t>
      </w:r>
      <w:r>
        <w:rPr>
          <w:rFonts w:ascii="仿宋_GB2312" w:eastAsia="仿宋_GB2312" w:hint="eastAsia"/>
          <w:sz w:val="32"/>
          <w:szCs w:val="32"/>
        </w:rPr>
        <w:t>等。</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2.应用造血干细胞移植技术治疗部分遗传病、先天性疾病及代谢性疾病参照本规定。</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（二）实施造血干细胞移植术前应当向患者及其家属告知治疗目的、风险、注意事项及可能发生的并发症等，并签</w:t>
      </w:r>
      <w:r>
        <w:rPr>
          <w:rFonts w:ascii="仿宋_GB2312" w:eastAsia="仿宋_GB2312" w:hint="eastAsia"/>
          <w:sz w:val="32"/>
          <w:szCs w:val="32"/>
        </w:rPr>
        <w:lastRenderedPageBreak/>
        <w:t>署知情同意书。</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（三）</w:t>
      </w:r>
      <w:r w:rsidR="00017763">
        <w:rPr>
          <w:rFonts w:ascii="仿宋_GB2312" w:eastAsia="仿宋_GB2312" w:hint="eastAsia"/>
          <w:sz w:val="32"/>
          <w:szCs w:val="32"/>
        </w:rPr>
        <w:t>医疗机构应当建立完整的临床数据库及严格的术后随访制度，</w:t>
      </w:r>
      <w:r>
        <w:rPr>
          <w:rFonts w:ascii="仿宋_GB2312" w:eastAsia="仿宋_GB2312" w:hint="eastAsia"/>
          <w:sz w:val="32"/>
          <w:szCs w:val="32"/>
        </w:rPr>
        <w:t>在完成每例次造血干细胞移植术后应当按照有关规定将移植相关信息上报卫生计生行政部门。</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（四）技术要求。</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1.拟行骨髓或外周血造血干细胞移植，采集供者单个核细胞数应当达到以下标准：骨髓单个核细胞数≥3×10</w:t>
      </w:r>
      <w:r>
        <w:rPr>
          <w:rFonts w:ascii="仿宋_GB2312" w:eastAsia="仿宋_GB2312" w:hint="eastAsia"/>
          <w:sz w:val="32"/>
          <w:szCs w:val="32"/>
          <w:vertAlign w:val="superscript"/>
        </w:rPr>
        <w:t>8</w:t>
      </w:r>
      <w:r>
        <w:rPr>
          <w:rFonts w:ascii="仿宋_GB2312" w:eastAsia="仿宋_GB2312" w:hint="eastAsia"/>
          <w:sz w:val="32"/>
          <w:szCs w:val="32"/>
        </w:rPr>
        <w:t>/Kg，CD34</w:t>
      </w:r>
      <w:r>
        <w:rPr>
          <w:rFonts w:ascii="仿宋_GB2312" w:eastAsia="仿宋_GB2312" w:hint="eastAsia"/>
          <w:sz w:val="32"/>
          <w:szCs w:val="32"/>
          <w:vertAlign w:val="superscript"/>
        </w:rPr>
        <w:t>＋</w:t>
      </w:r>
      <w:r>
        <w:rPr>
          <w:rFonts w:ascii="仿宋_GB2312" w:eastAsia="仿宋_GB2312" w:hint="eastAsia"/>
          <w:sz w:val="32"/>
          <w:szCs w:val="32"/>
        </w:rPr>
        <w:t>细胞数≥2×10</w:t>
      </w:r>
      <w:r>
        <w:rPr>
          <w:rFonts w:ascii="仿宋_GB2312" w:eastAsia="仿宋_GB2312" w:hint="eastAsia"/>
          <w:sz w:val="32"/>
          <w:szCs w:val="32"/>
          <w:vertAlign w:val="superscript"/>
        </w:rPr>
        <w:t>6</w:t>
      </w:r>
      <w:r>
        <w:rPr>
          <w:rFonts w:ascii="仿宋_GB2312" w:eastAsia="仿宋_GB2312" w:hint="eastAsia"/>
          <w:sz w:val="32"/>
          <w:szCs w:val="32"/>
        </w:rPr>
        <w:t>/Kg；外周血单个核细胞数≥5×10</w:t>
      </w:r>
      <w:r>
        <w:rPr>
          <w:rFonts w:ascii="仿宋_GB2312" w:eastAsia="仿宋_GB2312" w:hint="eastAsia"/>
          <w:sz w:val="32"/>
          <w:szCs w:val="32"/>
          <w:vertAlign w:val="superscript"/>
        </w:rPr>
        <w:t>8</w:t>
      </w:r>
      <w:r>
        <w:rPr>
          <w:rFonts w:ascii="仿宋_GB2312" w:eastAsia="仿宋_GB2312" w:hint="eastAsia"/>
          <w:sz w:val="32"/>
          <w:szCs w:val="32"/>
        </w:rPr>
        <w:t>/Kg，CD34</w:t>
      </w:r>
      <w:r>
        <w:rPr>
          <w:rFonts w:ascii="仿宋_GB2312" w:eastAsia="仿宋_GB2312" w:hint="eastAsia"/>
          <w:sz w:val="32"/>
          <w:szCs w:val="32"/>
          <w:vertAlign w:val="superscript"/>
        </w:rPr>
        <w:t>＋</w:t>
      </w:r>
      <w:r>
        <w:rPr>
          <w:rFonts w:ascii="仿宋_GB2312" w:eastAsia="仿宋_GB2312" w:hint="eastAsia"/>
          <w:sz w:val="32"/>
          <w:szCs w:val="32"/>
        </w:rPr>
        <w:t>细胞数≥2×10</w:t>
      </w:r>
      <w:r>
        <w:rPr>
          <w:rFonts w:ascii="仿宋_GB2312" w:eastAsia="仿宋_GB2312" w:hint="eastAsia"/>
          <w:sz w:val="32"/>
          <w:szCs w:val="32"/>
          <w:vertAlign w:val="superscript"/>
        </w:rPr>
        <w:t>6</w:t>
      </w:r>
      <w:r>
        <w:rPr>
          <w:rFonts w:ascii="仿宋_GB2312" w:eastAsia="仿宋_GB2312" w:hint="eastAsia"/>
          <w:sz w:val="32"/>
          <w:szCs w:val="32"/>
        </w:rPr>
        <w:t>/Kg。</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2.拟行脐带血造血干细胞移植可采用单份或多份脐带血，单份脐带血单个核细胞数</w:t>
      </w:r>
      <w:r>
        <w:rPr>
          <w:rFonts w:ascii="仿宋_GB2312" w:eastAsia="仿宋_GB2312" w:hAnsi="仿宋_GB2312" w:hint="eastAsia"/>
          <w:sz w:val="32"/>
          <w:szCs w:val="32"/>
        </w:rPr>
        <w:t>&gt;</w:t>
      </w:r>
      <w:r>
        <w:rPr>
          <w:rFonts w:ascii="仿宋_GB2312" w:eastAsia="仿宋_GB2312" w:hint="eastAsia"/>
          <w:sz w:val="32"/>
          <w:szCs w:val="32"/>
        </w:rPr>
        <w:t xml:space="preserve"> 2×10</w:t>
      </w:r>
      <w:r>
        <w:rPr>
          <w:rFonts w:ascii="仿宋_GB2312" w:eastAsia="仿宋_GB2312" w:hint="eastAsia"/>
          <w:sz w:val="32"/>
          <w:szCs w:val="32"/>
          <w:vertAlign w:val="superscript"/>
        </w:rPr>
        <w:t xml:space="preserve">7 </w:t>
      </w:r>
      <w:r>
        <w:rPr>
          <w:rFonts w:ascii="仿宋_GB2312" w:eastAsia="仿宋_GB2312" w:hint="eastAsia"/>
          <w:sz w:val="32"/>
          <w:szCs w:val="32"/>
        </w:rPr>
        <w:t>/Kg，CD34</w:t>
      </w:r>
      <w:r>
        <w:rPr>
          <w:rFonts w:ascii="仿宋_GB2312" w:eastAsia="仿宋_GB2312" w:hint="eastAsia"/>
          <w:sz w:val="32"/>
          <w:szCs w:val="32"/>
          <w:vertAlign w:val="superscript"/>
        </w:rPr>
        <w:t>＋</w:t>
      </w:r>
      <w:r>
        <w:rPr>
          <w:rFonts w:ascii="仿宋_GB2312" w:eastAsia="仿宋_GB2312" w:hint="eastAsia"/>
          <w:sz w:val="32"/>
          <w:szCs w:val="32"/>
        </w:rPr>
        <w:t>细胞数</w:t>
      </w:r>
      <w:r w:rsidRPr="001B196E">
        <w:rPr>
          <w:rFonts w:ascii="仿宋_GB2312" w:eastAsia="仿宋_GB2312" w:hint="eastAsia"/>
          <w:sz w:val="32"/>
          <w:szCs w:val="32"/>
        </w:rPr>
        <w:t>&gt;</w:t>
      </w:r>
      <w:r>
        <w:rPr>
          <w:rFonts w:ascii="仿宋_GB2312" w:eastAsia="仿宋_GB2312" w:hint="eastAsia"/>
          <w:sz w:val="32"/>
          <w:szCs w:val="32"/>
        </w:rPr>
        <w:t>1</w:t>
      </w:r>
      <w:r w:rsidRPr="0028544A">
        <w:rPr>
          <w:rFonts w:ascii="仿宋_GB2312" w:eastAsia="仿宋_GB2312" w:hint="eastAsia"/>
          <w:sz w:val="32"/>
          <w:szCs w:val="32"/>
        </w:rPr>
        <w:t>×</w:t>
      </w:r>
      <w:r>
        <w:rPr>
          <w:rFonts w:ascii="仿宋_GB2312" w:eastAsia="仿宋_GB2312" w:hint="eastAsia"/>
          <w:sz w:val="32"/>
          <w:szCs w:val="32"/>
        </w:rPr>
        <w:t>10</w:t>
      </w:r>
      <w:r>
        <w:rPr>
          <w:rFonts w:ascii="仿宋_GB2312" w:eastAsia="仿宋_GB2312" w:hint="eastAsia"/>
          <w:sz w:val="32"/>
          <w:szCs w:val="32"/>
          <w:vertAlign w:val="superscript"/>
        </w:rPr>
        <w:t>5</w:t>
      </w:r>
      <w:r>
        <w:rPr>
          <w:rFonts w:ascii="仿宋_GB2312" w:eastAsia="仿宋_GB2312" w:hint="eastAsia"/>
          <w:sz w:val="32"/>
          <w:szCs w:val="32"/>
        </w:rPr>
        <w:t>/Kg。</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3.造血干细胞移植术后100天植入率≥80%。</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4.</w:t>
      </w:r>
      <w:r w:rsidRPr="00A05D6D">
        <w:rPr>
          <w:rFonts w:ascii="仿宋_GB2312" w:eastAsia="仿宋_GB2312" w:hint="eastAsia"/>
          <w:sz w:val="32"/>
          <w:szCs w:val="32"/>
        </w:rPr>
        <w:t xml:space="preserve"> Ⅲ</w:t>
      </w:r>
      <w:r>
        <w:rPr>
          <w:rFonts w:ascii="仿宋_GB2312" w:eastAsia="仿宋_GB2312" w:hint="eastAsia"/>
          <w:sz w:val="32"/>
          <w:szCs w:val="32"/>
        </w:rPr>
        <w:t>-</w:t>
      </w:r>
      <w:r w:rsidRPr="00A05D6D">
        <w:rPr>
          <w:rFonts w:ascii="仿宋_GB2312" w:eastAsia="仿宋_GB2312" w:hint="eastAsia"/>
          <w:sz w:val="32"/>
          <w:szCs w:val="32"/>
        </w:rPr>
        <w:t>Ⅳ</w:t>
      </w:r>
      <w:r>
        <w:rPr>
          <w:rFonts w:ascii="仿宋_GB2312" w:eastAsia="仿宋_GB2312" w:hint="eastAsia"/>
          <w:sz w:val="32"/>
          <w:szCs w:val="32"/>
        </w:rPr>
        <w:t>度急性移植物抗宿主病发生率</w:t>
      </w:r>
      <w:r>
        <w:rPr>
          <w:rFonts w:ascii="仿宋_GB2312" w:eastAsia="仿宋_GB2312" w:hAnsi="仿宋_GB2312" w:hint="eastAsia"/>
          <w:sz w:val="32"/>
          <w:szCs w:val="32"/>
        </w:rPr>
        <w:t>&lt;</w:t>
      </w:r>
      <w:r>
        <w:rPr>
          <w:rFonts w:ascii="仿宋_GB2312" w:eastAsia="仿宋_GB2312" w:hint="eastAsia"/>
          <w:sz w:val="32"/>
          <w:szCs w:val="32"/>
        </w:rPr>
        <w:t>30%。</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5.连续3年移植后1年存活率≥50%。</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6.第一次缓解期的白血病患者移植后1年生存率</w:t>
      </w:r>
      <w:r>
        <w:rPr>
          <w:rFonts w:ascii="仿宋_GB2312" w:eastAsia="仿宋_GB2312" w:hAnsi="仿宋_GB2312" w:hint="eastAsia"/>
          <w:sz w:val="32"/>
          <w:szCs w:val="32"/>
        </w:rPr>
        <w:t>&gt;</w:t>
      </w:r>
      <w:r>
        <w:rPr>
          <w:rFonts w:ascii="仿宋_GB2312" w:eastAsia="仿宋_GB2312" w:hint="eastAsia"/>
          <w:sz w:val="32"/>
          <w:szCs w:val="32"/>
        </w:rPr>
        <w:t>60%。</w:t>
      </w:r>
    </w:p>
    <w:p w:rsidR="004C3DAE" w:rsidRPr="003B224D" w:rsidRDefault="004C3DAE" w:rsidP="004C3DAE">
      <w:pPr>
        <w:adjustRightInd w:val="0"/>
        <w:snapToGrid w:val="0"/>
        <w:spacing w:line="360" w:lineRule="auto"/>
        <w:ind w:firstLineChars="200" w:firstLine="640"/>
        <w:rPr>
          <w:rFonts w:ascii="仿宋_GB2312" w:eastAsia="仿宋_GB2312"/>
          <w:sz w:val="32"/>
          <w:szCs w:val="32"/>
        </w:rPr>
      </w:pPr>
      <w:r w:rsidRPr="003B224D">
        <w:rPr>
          <w:rFonts w:ascii="仿宋_GB2312" w:eastAsia="仿宋_GB2312" w:hint="eastAsia"/>
          <w:sz w:val="32"/>
          <w:szCs w:val="32"/>
        </w:rPr>
        <w:t xml:space="preserve">（五）其他管理要求。 </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1.</w:t>
      </w:r>
      <w:r w:rsidRPr="000F5814">
        <w:rPr>
          <w:rFonts w:ascii="仿宋_GB2312" w:eastAsia="仿宋_GB2312" w:hAnsi="宋体" w:hint="eastAsia"/>
          <w:sz w:val="32"/>
          <w:szCs w:val="32"/>
        </w:rPr>
        <w:t>使用经</w:t>
      </w:r>
      <w:r>
        <w:rPr>
          <w:rFonts w:ascii="仿宋_GB2312" w:eastAsia="仿宋_GB2312" w:hAnsi="宋体" w:hint="eastAsia"/>
          <w:sz w:val="32"/>
          <w:szCs w:val="32"/>
        </w:rPr>
        <w:t>国家食品</w:t>
      </w:r>
      <w:r w:rsidRPr="000F5814">
        <w:rPr>
          <w:rFonts w:ascii="仿宋_GB2312" w:eastAsia="仿宋_GB2312" w:hAnsi="宋体" w:hint="eastAsia"/>
          <w:sz w:val="32"/>
          <w:szCs w:val="32"/>
        </w:rPr>
        <w:t>药品监督</w:t>
      </w:r>
      <w:r>
        <w:rPr>
          <w:rFonts w:ascii="仿宋_GB2312" w:eastAsia="仿宋_GB2312" w:hAnsi="宋体" w:hint="eastAsia"/>
          <w:sz w:val="32"/>
          <w:szCs w:val="32"/>
        </w:rPr>
        <w:t>管理总局批准</w:t>
      </w:r>
      <w:r w:rsidRPr="000F5814">
        <w:rPr>
          <w:rFonts w:ascii="仿宋_GB2312" w:eastAsia="仿宋_GB2312" w:hAnsi="宋体" w:hint="eastAsia"/>
          <w:sz w:val="32"/>
          <w:szCs w:val="32"/>
        </w:rPr>
        <w:t>的</w:t>
      </w:r>
      <w:r>
        <w:rPr>
          <w:rFonts w:ascii="仿宋_GB2312" w:eastAsia="仿宋_GB2312" w:hAnsi="宋体" w:hint="eastAsia"/>
          <w:sz w:val="32"/>
          <w:szCs w:val="32"/>
        </w:rPr>
        <w:t>造血干细胞移植技术</w:t>
      </w:r>
      <w:r w:rsidRPr="000F5814">
        <w:rPr>
          <w:rFonts w:ascii="仿宋_GB2312" w:eastAsia="仿宋_GB2312" w:hAnsi="宋体" w:hint="eastAsia"/>
          <w:sz w:val="32"/>
          <w:szCs w:val="32"/>
        </w:rPr>
        <w:t>相关</w:t>
      </w:r>
      <w:r w:rsidRPr="000F5814">
        <w:rPr>
          <w:rFonts w:ascii="仿宋_GB2312" w:eastAsia="仿宋_GB2312" w:hAnsi="宋体" w:hint="eastAsia"/>
          <w:bCs/>
          <w:sz w:val="32"/>
          <w:szCs w:val="32"/>
        </w:rPr>
        <w:t>器材</w:t>
      </w:r>
      <w:r>
        <w:rPr>
          <w:rFonts w:ascii="仿宋_GB2312" w:eastAsia="仿宋_GB2312" w:hAnsi="宋体" w:hint="eastAsia"/>
          <w:bCs/>
          <w:sz w:val="32"/>
          <w:szCs w:val="32"/>
        </w:rPr>
        <w:t>，</w:t>
      </w:r>
      <w:r w:rsidRPr="000F5814">
        <w:rPr>
          <w:rFonts w:ascii="仿宋_GB2312" w:eastAsia="仿宋_GB2312" w:hAnsi="宋体" w:hint="eastAsia"/>
          <w:sz w:val="32"/>
          <w:szCs w:val="32"/>
        </w:rPr>
        <w:t>不得违规重复使用</w:t>
      </w:r>
      <w:r>
        <w:rPr>
          <w:rFonts w:ascii="仿宋_GB2312" w:eastAsia="仿宋_GB2312" w:hAnsi="宋体" w:hint="eastAsia"/>
          <w:sz w:val="32"/>
          <w:szCs w:val="32"/>
        </w:rPr>
        <w:t>与造血干细胞移植技术相关的</w:t>
      </w:r>
      <w:r w:rsidRPr="000F5814">
        <w:rPr>
          <w:rFonts w:ascii="仿宋_GB2312" w:eastAsia="仿宋_GB2312" w:hAnsi="宋体" w:hint="eastAsia"/>
          <w:sz w:val="32"/>
          <w:szCs w:val="32"/>
        </w:rPr>
        <w:t>一次性</w:t>
      </w:r>
      <w:r>
        <w:rPr>
          <w:rFonts w:ascii="仿宋_GB2312" w:eastAsia="仿宋_GB2312" w:hAnsi="宋体" w:hint="eastAsia"/>
          <w:sz w:val="32"/>
          <w:szCs w:val="32"/>
        </w:rPr>
        <w:t>医用</w:t>
      </w:r>
      <w:r w:rsidRPr="000F5814">
        <w:rPr>
          <w:rFonts w:ascii="仿宋_GB2312" w:eastAsia="仿宋_GB2312" w:hAnsi="宋体" w:hint="eastAsia"/>
          <w:sz w:val="32"/>
          <w:szCs w:val="32"/>
        </w:rPr>
        <w:t>器材</w:t>
      </w:r>
      <w:r w:rsidRPr="000F5814">
        <w:rPr>
          <w:rFonts w:ascii="仿宋_GB2312" w:eastAsia="仿宋_GB2312" w:hAnsi="宋体" w:hint="eastAsia"/>
          <w:bCs/>
          <w:sz w:val="32"/>
          <w:szCs w:val="32"/>
        </w:rPr>
        <w:t>。</w:t>
      </w:r>
    </w:p>
    <w:p w:rsidR="004B0804" w:rsidRDefault="004C3DAE"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2.</w:t>
      </w:r>
      <w:r w:rsidR="004B0804">
        <w:rPr>
          <w:rFonts w:ascii="仿宋_GB2312" w:eastAsia="仿宋_GB2312" w:hint="eastAsia"/>
          <w:sz w:val="32"/>
          <w:szCs w:val="32"/>
        </w:rPr>
        <w:t>造血干细胞来源合法，供移植用非血缘骨髓造血干细胞应当由中华骨髓库提供，供移植用脐带血造血干细胞应当</w:t>
      </w:r>
      <w:r w:rsidR="004B0804">
        <w:rPr>
          <w:rFonts w:ascii="仿宋_GB2312" w:eastAsia="仿宋_GB2312" w:hint="eastAsia"/>
          <w:sz w:val="32"/>
          <w:szCs w:val="32"/>
        </w:rPr>
        <w:lastRenderedPageBreak/>
        <w:t>由国家卫生计生委批准设置的脐带血造血干细胞库提供。</w:t>
      </w:r>
    </w:p>
    <w:p w:rsidR="004C3DAE" w:rsidRDefault="004B0804" w:rsidP="004C3DAE">
      <w:pPr>
        <w:adjustRightInd w:val="0"/>
        <w:snapToGrid w:val="0"/>
        <w:spacing w:line="360" w:lineRule="auto"/>
        <w:ind w:firstLineChars="200" w:firstLine="640"/>
        <w:rPr>
          <w:rFonts w:ascii="仿宋_GB2312" w:eastAsia="仿宋_GB2312"/>
          <w:sz w:val="32"/>
          <w:szCs w:val="32"/>
        </w:rPr>
      </w:pPr>
      <w:r>
        <w:rPr>
          <w:rFonts w:ascii="仿宋_GB2312" w:eastAsia="仿宋_GB2312" w:hint="eastAsia"/>
          <w:sz w:val="32"/>
          <w:szCs w:val="32"/>
        </w:rPr>
        <w:t>3.</w:t>
      </w:r>
      <w:r w:rsidR="004C3DAE" w:rsidRPr="003B224D">
        <w:rPr>
          <w:rFonts w:ascii="仿宋_GB2312" w:eastAsia="仿宋_GB2312" w:hint="eastAsia"/>
          <w:sz w:val="32"/>
          <w:szCs w:val="32"/>
        </w:rPr>
        <w:t>建立造血干细胞来源登记制度，保证造血干细胞来源可追溯。不得通过造血干细</w:t>
      </w:r>
      <w:r w:rsidR="004C3DAE">
        <w:rPr>
          <w:rFonts w:ascii="仿宋_GB2312" w:eastAsia="仿宋_GB2312" w:hint="eastAsia"/>
          <w:sz w:val="32"/>
          <w:szCs w:val="32"/>
        </w:rPr>
        <w:t>胞移植技术谋取不正当利益，不得泄露造血干细胞捐献者资料。</w:t>
      </w:r>
    </w:p>
    <w:p w:rsidR="004C3DAE" w:rsidRDefault="004C3DAE" w:rsidP="004C3DAE">
      <w:pPr>
        <w:adjustRightInd w:val="0"/>
        <w:snapToGrid w:val="0"/>
        <w:spacing w:line="360" w:lineRule="auto"/>
        <w:ind w:firstLineChars="200" w:firstLine="640"/>
        <w:rPr>
          <w:rFonts w:ascii="仿宋_GB2312" w:eastAsia="仿宋_GB2312"/>
          <w:sz w:val="32"/>
          <w:szCs w:val="32"/>
        </w:rPr>
      </w:pPr>
      <w:r>
        <w:rPr>
          <w:rFonts w:ascii="黑体" w:eastAsia="黑体" w:hint="eastAsia"/>
          <w:sz w:val="32"/>
          <w:szCs w:val="32"/>
        </w:rPr>
        <w:t>四、培训管理要求</w:t>
      </w:r>
    </w:p>
    <w:p w:rsidR="004C3DAE" w:rsidRPr="000A2FAB" w:rsidRDefault="004C3DAE" w:rsidP="004C3DAE">
      <w:pPr>
        <w:adjustRightInd w:val="0"/>
        <w:snapToGrid w:val="0"/>
        <w:spacing w:line="360" w:lineRule="auto"/>
        <w:ind w:firstLineChars="200" w:firstLine="640"/>
        <w:rPr>
          <w:rFonts w:ascii="仿宋_GB2312" w:eastAsia="仿宋_GB2312" w:hAnsi="宋体"/>
          <w:sz w:val="32"/>
          <w:szCs w:val="32"/>
        </w:rPr>
      </w:pPr>
      <w:r w:rsidRPr="000A2FAB">
        <w:rPr>
          <w:rFonts w:ascii="仿宋_GB2312" w:eastAsia="仿宋_GB2312" w:hAnsi="宋体" w:hint="eastAsia"/>
          <w:sz w:val="32"/>
          <w:szCs w:val="32"/>
        </w:rPr>
        <w:t>（一）</w:t>
      </w:r>
      <w:r>
        <w:rPr>
          <w:rFonts w:ascii="仿宋_GB2312" w:eastAsia="仿宋_GB2312" w:hAnsi="宋体" w:hint="eastAsia"/>
          <w:sz w:val="32"/>
          <w:szCs w:val="32"/>
        </w:rPr>
        <w:t>拟开展</w:t>
      </w:r>
      <w:r>
        <w:rPr>
          <w:rFonts w:ascii="仿宋_GB2312" w:eastAsia="仿宋_GB2312" w:hAnsi="宋体" w:hint="eastAsia"/>
          <w:color w:val="000000"/>
          <w:sz w:val="32"/>
          <w:szCs w:val="32"/>
        </w:rPr>
        <w:t>造血干细胞移植</w:t>
      </w:r>
      <w:r w:rsidRPr="00C33E7D">
        <w:rPr>
          <w:rFonts w:ascii="仿宋_GB2312" w:eastAsia="仿宋_GB2312" w:hAnsi="宋体" w:hint="eastAsia"/>
          <w:sz w:val="32"/>
          <w:szCs w:val="32"/>
        </w:rPr>
        <w:t>技术</w:t>
      </w:r>
      <w:r>
        <w:rPr>
          <w:rFonts w:ascii="仿宋_GB2312" w:eastAsia="仿宋_GB2312" w:hAnsi="宋体" w:cs="宋体" w:hint="eastAsia"/>
          <w:kern w:val="0"/>
          <w:sz w:val="32"/>
          <w:szCs w:val="32"/>
        </w:rPr>
        <w:t>的医师培训要求。</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Pr>
          <w:rFonts w:ascii="仿宋_GB2312" w:eastAsia="仿宋_GB2312" w:hAnsi="仿宋_GB2312" w:cs="仿宋_GB2312" w:hint="eastAsia"/>
          <w:sz w:val="32"/>
          <w:szCs w:val="32"/>
        </w:rPr>
        <w:t>应当具有《医师执业证书》，</w:t>
      </w:r>
      <w:r w:rsidRPr="00786788">
        <w:rPr>
          <w:rFonts w:ascii="仿宋_GB2312" w:eastAsia="仿宋_GB2312" w:hAnsi="宋体" w:hint="eastAsia"/>
          <w:color w:val="000000"/>
          <w:sz w:val="32"/>
          <w:szCs w:val="32"/>
        </w:rPr>
        <w:t>具有</w:t>
      </w:r>
      <w:r>
        <w:rPr>
          <w:rFonts w:ascii="仿宋_GB2312" w:eastAsia="仿宋_GB2312" w:hAnsi="宋体" w:hint="eastAsia"/>
          <w:color w:val="000000"/>
          <w:sz w:val="32"/>
          <w:szCs w:val="32"/>
        </w:rPr>
        <w:t>主治</w:t>
      </w:r>
      <w:r w:rsidRPr="00786788">
        <w:rPr>
          <w:rFonts w:ascii="仿宋_GB2312" w:eastAsia="仿宋_GB2312" w:hAnsi="宋体" w:hint="eastAsia"/>
          <w:color w:val="000000"/>
          <w:sz w:val="32"/>
          <w:szCs w:val="32"/>
        </w:rPr>
        <w:t>医师</w:t>
      </w:r>
      <w:r>
        <w:rPr>
          <w:rFonts w:ascii="仿宋_GB2312" w:eastAsia="仿宋_GB2312" w:hAnsi="宋体" w:hint="eastAsia"/>
          <w:color w:val="000000"/>
          <w:sz w:val="32"/>
          <w:szCs w:val="32"/>
        </w:rPr>
        <w:t>及以上</w:t>
      </w:r>
      <w:r w:rsidRPr="00786788">
        <w:rPr>
          <w:rFonts w:ascii="仿宋_GB2312" w:eastAsia="仿宋_GB2312" w:hAnsi="宋体" w:hint="eastAsia"/>
          <w:color w:val="000000"/>
          <w:sz w:val="32"/>
          <w:szCs w:val="32"/>
        </w:rPr>
        <w:t>专业技术职务任职资格</w:t>
      </w:r>
      <w:r w:rsidRPr="00BE10D9">
        <w:rPr>
          <w:rFonts w:ascii="仿宋_GB2312" w:eastAsia="仿宋_GB2312" w:hAnsi="宋体" w:hint="eastAsia"/>
          <w:sz w:val="32"/>
          <w:szCs w:val="32"/>
        </w:rPr>
        <w:t>。</w:t>
      </w:r>
    </w:p>
    <w:p w:rsidR="004C3DAE" w:rsidRDefault="004C3DAE" w:rsidP="004C3DAE">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2.接受至少</w:t>
      </w:r>
      <w:r w:rsidR="00017763">
        <w:rPr>
          <w:rFonts w:ascii="仿宋_GB2312" w:eastAsia="仿宋_GB2312" w:hAnsi="宋体" w:hint="eastAsia"/>
          <w:sz w:val="32"/>
          <w:szCs w:val="32"/>
        </w:rPr>
        <w:t>6</w:t>
      </w:r>
      <w:r>
        <w:rPr>
          <w:rFonts w:ascii="仿宋_GB2312" w:eastAsia="仿宋_GB2312" w:hAnsi="宋体" w:hint="eastAsia"/>
          <w:sz w:val="32"/>
          <w:szCs w:val="32"/>
        </w:rPr>
        <w:t>个月的系统培训。在指导医师指导下，参加同种异基因造血干细胞移植诊疗工作2例，</w:t>
      </w:r>
      <w:r>
        <w:rPr>
          <w:rFonts w:ascii="仿宋_GB2312" w:eastAsia="仿宋_GB2312" w:hAnsi="宋体" w:hint="eastAsia"/>
          <w:color w:val="000000"/>
          <w:sz w:val="32"/>
          <w:szCs w:val="32"/>
        </w:rPr>
        <w:t>参与5例以上同种异基因造血干细胞移植患者的全过程管理,包括适应证选择、供者选择、</w:t>
      </w:r>
      <w:r w:rsidR="004B0804">
        <w:rPr>
          <w:rFonts w:ascii="仿宋_GB2312" w:eastAsia="仿宋_GB2312" w:hAnsi="宋体" w:hint="eastAsia"/>
          <w:color w:val="000000"/>
          <w:sz w:val="32"/>
          <w:szCs w:val="32"/>
        </w:rPr>
        <w:t>制定</w:t>
      </w:r>
      <w:r>
        <w:rPr>
          <w:rFonts w:ascii="仿宋_GB2312" w:eastAsia="仿宋_GB2312" w:hAnsi="宋体" w:hint="eastAsia"/>
          <w:color w:val="000000"/>
          <w:sz w:val="32"/>
          <w:szCs w:val="32"/>
        </w:rPr>
        <w:t>预处理方案、并发症处理、移植后管理和随访等，并考核合格。</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color w:val="000000"/>
          <w:sz w:val="32"/>
          <w:szCs w:val="32"/>
        </w:rPr>
        <w:t>3.在境外接受同种异基因造血干细胞移植</w:t>
      </w:r>
      <w:r w:rsidRPr="00C33E7D">
        <w:rPr>
          <w:rFonts w:ascii="仿宋_GB2312" w:eastAsia="仿宋_GB2312" w:hAnsi="宋体" w:hint="eastAsia"/>
          <w:sz w:val="32"/>
          <w:szCs w:val="32"/>
        </w:rPr>
        <w:t>技术</w:t>
      </w:r>
      <w:r>
        <w:rPr>
          <w:rFonts w:ascii="仿宋_GB2312" w:eastAsia="仿宋_GB2312" w:hAnsi="宋体" w:hint="eastAsia"/>
          <w:sz w:val="32"/>
          <w:szCs w:val="32"/>
        </w:rPr>
        <w:t>培训6个月以上，有境外培训机构的培训证明，并经省级卫生计生行政部门</w:t>
      </w:r>
      <w:r w:rsidR="004B0804">
        <w:rPr>
          <w:rFonts w:ascii="仿宋_GB2312" w:eastAsia="仿宋_GB2312" w:hAnsi="宋体" w:hint="eastAsia"/>
          <w:sz w:val="32"/>
          <w:szCs w:val="32"/>
        </w:rPr>
        <w:t>指</w:t>
      </w:r>
      <w:r>
        <w:rPr>
          <w:rFonts w:ascii="仿宋_GB2312" w:eastAsia="仿宋_GB2312" w:hAnsi="宋体" w:hint="eastAsia"/>
          <w:sz w:val="32"/>
          <w:szCs w:val="32"/>
        </w:rPr>
        <w:t>定的培训基地考核合格后，可以</w:t>
      </w:r>
      <w:r w:rsidR="004B0804">
        <w:rPr>
          <w:rFonts w:ascii="仿宋_GB2312" w:eastAsia="仿宋_GB2312" w:hAnsi="宋体" w:hint="eastAsia"/>
          <w:sz w:val="32"/>
          <w:szCs w:val="32"/>
        </w:rPr>
        <w:t>视</w:t>
      </w:r>
      <w:r>
        <w:rPr>
          <w:rFonts w:ascii="仿宋_GB2312" w:eastAsia="仿宋_GB2312" w:hAnsi="宋体" w:hint="eastAsia"/>
          <w:sz w:val="32"/>
          <w:szCs w:val="32"/>
        </w:rPr>
        <w:t>为达到规定的培训要求。</w:t>
      </w:r>
    </w:p>
    <w:p w:rsidR="004C3DAE" w:rsidRPr="00D81A4E" w:rsidRDefault="004C3DAE" w:rsidP="004C3DAE">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4.本规范印发之日前，从事临床工作满15年，具有副主任医师专业技术职务任职资格，近</w:t>
      </w:r>
      <w:r w:rsidR="00017763">
        <w:rPr>
          <w:rFonts w:ascii="仿宋_GB2312" w:eastAsia="仿宋_GB2312" w:hAnsi="宋体" w:hint="eastAsia"/>
          <w:sz w:val="32"/>
          <w:szCs w:val="32"/>
        </w:rPr>
        <w:t>3</w:t>
      </w:r>
      <w:r>
        <w:rPr>
          <w:rFonts w:ascii="仿宋_GB2312" w:eastAsia="仿宋_GB2312" w:hAnsi="宋体" w:hint="eastAsia"/>
          <w:sz w:val="32"/>
          <w:szCs w:val="32"/>
        </w:rPr>
        <w:t>年独立开展造血干细胞移植技术临床应用不少于</w:t>
      </w:r>
      <w:r w:rsidR="00017763">
        <w:rPr>
          <w:rFonts w:ascii="仿宋_GB2312" w:eastAsia="仿宋_GB2312" w:hAnsi="宋体" w:hint="eastAsia"/>
          <w:sz w:val="32"/>
          <w:szCs w:val="32"/>
        </w:rPr>
        <w:t>5</w:t>
      </w:r>
      <w:r>
        <w:rPr>
          <w:rFonts w:ascii="仿宋_GB2312" w:eastAsia="仿宋_GB2312" w:hAnsi="宋体" w:hint="eastAsia"/>
          <w:sz w:val="32"/>
          <w:szCs w:val="32"/>
        </w:rPr>
        <w:t>0例，未发生</w:t>
      </w:r>
      <w:r w:rsidR="00017763">
        <w:rPr>
          <w:rFonts w:ascii="仿宋_GB2312" w:eastAsia="仿宋_GB2312" w:hAnsi="宋体" w:hint="eastAsia"/>
          <w:sz w:val="32"/>
          <w:szCs w:val="32"/>
        </w:rPr>
        <w:t>二级及以上责任程度为主要责任以上、与造血干细胞移植相关的医疗事故的，</w:t>
      </w:r>
      <w:r>
        <w:rPr>
          <w:rFonts w:ascii="仿宋_GB2312" w:eastAsia="仿宋_GB2312" w:hAnsi="宋体" w:hint="eastAsia"/>
          <w:sz w:val="32"/>
          <w:szCs w:val="32"/>
        </w:rPr>
        <w:t>可免于培训。</w:t>
      </w:r>
    </w:p>
    <w:p w:rsidR="004C3DAE" w:rsidRPr="000A2FAB"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（二）</w:t>
      </w:r>
      <w:r w:rsidRPr="000A2FAB">
        <w:rPr>
          <w:rFonts w:ascii="仿宋_GB2312" w:eastAsia="仿宋_GB2312" w:hAnsi="宋体" w:hint="eastAsia"/>
          <w:sz w:val="32"/>
          <w:szCs w:val="32"/>
        </w:rPr>
        <w:t>培训基地</w:t>
      </w:r>
      <w:r>
        <w:rPr>
          <w:rFonts w:ascii="仿宋_GB2312" w:eastAsia="仿宋_GB2312" w:hAnsi="宋体" w:hint="eastAsia"/>
          <w:sz w:val="32"/>
          <w:szCs w:val="32"/>
        </w:rPr>
        <w:t>要求</w:t>
      </w:r>
      <w:r w:rsidRPr="000A2FAB">
        <w:rPr>
          <w:rFonts w:ascii="仿宋_GB2312" w:eastAsia="仿宋_GB2312" w:hAnsi="宋体" w:hint="eastAsia"/>
          <w:sz w:val="32"/>
          <w:szCs w:val="32"/>
        </w:rPr>
        <w:t>。</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4C3DAE" w:rsidRPr="00F27439" w:rsidRDefault="004C3DAE" w:rsidP="004C3DAE">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省级卫生计生行政部门</w:t>
      </w:r>
      <w:r w:rsidR="0031564A">
        <w:rPr>
          <w:rFonts w:ascii="仿宋_GB2312" w:eastAsia="仿宋_GB2312" w:hAnsi="宋体" w:hint="eastAsia"/>
          <w:sz w:val="32"/>
          <w:szCs w:val="32"/>
        </w:rPr>
        <w:t>指</w:t>
      </w:r>
      <w:r>
        <w:rPr>
          <w:rFonts w:ascii="仿宋_GB2312" w:eastAsia="仿宋_GB2312" w:hAnsi="宋体" w:hint="eastAsia"/>
          <w:sz w:val="32"/>
          <w:szCs w:val="32"/>
        </w:rPr>
        <w:t>定造血干细胞移植技术</w:t>
      </w:r>
      <w:r>
        <w:rPr>
          <w:rFonts w:ascii="仿宋_GB2312" w:eastAsia="仿宋_GB2312" w:hAnsi="宋体" w:hint="eastAsia"/>
          <w:bCs/>
          <w:sz w:val="32"/>
          <w:szCs w:val="32"/>
        </w:rPr>
        <w:t>培训基地</w:t>
      </w:r>
      <w:r w:rsidRPr="000B52DD">
        <w:rPr>
          <w:rFonts w:ascii="仿宋_GB2312" w:eastAsia="仿宋_GB2312" w:hAnsi="宋体" w:hint="eastAsia"/>
          <w:sz w:val="32"/>
          <w:szCs w:val="32"/>
        </w:rPr>
        <w:t>。培训基地</w:t>
      </w:r>
      <w:r>
        <w:rPr>
          <w:rFonts w:ascii="仿宋_GB2312" w:eastAsia="仿宋_GB2312" w:hAnsi="宋体" w:hint="eastAsia"/>
          <w:sz w:val="32"/>
          <w:szCs w:val="32"/>
        </w:rPr>
        <w:t>应当</w:t>
      </w:r>
      <w:r w:rsidRPr="000B52DD">
        <w:rPr>
          <w:rFonts w:ascii="仿宋_GB2312" w:eastAsia="仿宋_GB2312" w:hAnsi="宋体" w:hint="eastAsia"/>
          <w:sz w:val="32"/>
          <w:szCs w:val="32"/>
        </w:rPr>
        <w:t>具备</w:t>
      </w:r>
      <w:r>
        <w:rPr>
          <w:rFonts w:ascii="仿宋_GB2312" w:eastAsia="仿宋_GB2312" w:hAnsi="宋体" w:hint="eastAsia"/>
          <w:sz w:val="32"/>
          <w:szCs w:val="32"/>
        </w:rPr>
        <w:t>以下</w:t>
      </w:r>
      <w:r w:rsidRPr="000B52DD">
        <w:rPr>
          <w:rFonts w:ascii="仿宋_GB2312" w:eastAsia="仿宋_GB2312" w:hAnsi="宋体" w:hint="eastAsia"/>
          <w:sz w:val="32"/>
          <w:szCs w:val="32"/>
        </w:rPr>
        <w:t>条件:</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（1）三级甲等医院，符合造血干细胞移植技术管理规范要求。</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int="eastAsia"/>
          <w:sz w:val="32"/>
          <w:szCs w:val="32"/>
        </w:rPr>
        <w:t>百级层流病房床位</w:t>
      </w:r>
      <w:r>
        <w:rPr>
          <w:rFonts w:ascii="仿宋_GB2312" w:eastAsia="仿宋_GB2312" w:hAnsi="宋体" w:hint="eastAsia"/>
          <w:sz w:val="32"/>
          <w:szCs w:val="32"/>
        </w:rPr>
        <w:t>数不少于</w:t>
      </w:r>
      <w:r w:rsidR="00017763">
        <w:rPr>
          <w:rFonts w:ascii="仿宋_GB2312" w:eastAsia="仿宋_GB2312" w:hAnsi="宋体" w:hint="eastAsia"/>
          <w:sz w:val="32"/>
          <w:szCs w:val="32"/>
        </w:rPr>
        <w:t>10</w:t>
      </w:r>
      <w:r>
        <w:rPr>
          <w:rFonts w:ascii="仿宋_GB2312" w:eastAsia="仿宋_GB2312" w:hAnsi="宋体" w:hint="eastAsia"/>
          <w:sz w:val="32"/>
          <w:szCs w:val="32"/>
        </w:rPr>
        <w:t>张。</w:t>
      </w:r>
    </w:p>
    <w:p w:rsidR="004C3DAE" w:rsidRDefault="004C3DAE" w:rsidP="004C3DAE">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（3）</w:t>
      </w:r>
      <w:r>
        <w:rPr>
          <w:rFonts w:ascii="仿宋_GB2312" w:eastAsia="仿宋_GB2312" w:hAnsi="宋体" w:hint="eastAsia"/>
          <w:color w:val="000000"/>
          <w:sz w:val="32"/>
          <w:szCs w:val="32"/>
        </w:rPr>
        <w:t>近3年累计</w:t>
      </w:r>
      <w:r>
        <w:rPr>
          <w:rFonts w:ascii="仿宋_GB2312" w:eastAsia="仿宋_GB2312" w:hAnsi="宋体" w:hint="eastAsia"/>
          <w:sz w:val="32"/>
          <w:szCs w:val="32"/>
        </w:rPr>
        <w:t>完成同种异基因造血干细胞移植术</w:t>
      </w:r>
      <w:r>
        <w:rPr>
          <w:rFonts w:ascii="仿宋_GB2312" w:eastAsia="仿宋_GB2312" w:hAnsi="宋体" w:hint="eastAsia"/>
          <w:color w:val="000000"/>
          <w:sz w:val="32"/>
          <w:szCs w:val="32"/>
        </w:rPr>
        <w:t>不少于150例</w:t>
      </w:r>
      <w:r>
        <w:rPr>
          <w:rFonts w:ascii="仿宋_GB2312" w:eastAsia="仿宋_GB2312" w:hAnsi="宋体" w:hint="eastAsia"/>
          <w:sz w:val="32"/>
          <w:szCs w:val="32"/>
        </w:rPr>
        <w:t>，每年完成各类同种异基因造血干细胞移植术不少于50例</w:t>
      </w:r>
      <w:r>
        <w:rPr>
          <w:rFonts w:ascii="仿宋_GB2312" w:eastAsia="仿宋_GB2312" w:hAnsi="宋体" w:hint="eastAsia"/>
          <w:color w:val="000000"/>
          <w:sz w:val="32"/>
          <w:szCs w:val="32"/>
        </w:rPr>
        <w:t>。</w:t>
      </w:r>
    </w:p>
    <w:p w:rsidR="004C3DAE" w:rsidRDefault="004C3DAE" w:rsidP="004C3DAE">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sz w:val="32"/>
          <w:szCs w:val="32"/>
        </w:rPr>
        <w:t>（4）本医疗机构</w:t>
      </w:r>
      <w:r>
        <w:rPr>
          <w:rFonts w:ascii="仿宋_GB2312" w:eastAsia="仿宋_GB2312" w:hAnsi="宋体" w:hint="eastAsia"/>
          <w:color w:val="000000"/>
          <w:sz w:val="32"/>
          <w:szCs w:val="32"/>
        </w:rPr>
        <w:t>具有开展同种异基因造血干细胞移植相关实验室及检测条件。</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（5）有至少4名具有同种异基因造血干细胞移植能力的指导医师,其中至少2名为主任医师。</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（6）有与开展同种异基因造血干细胞移植技术培训工作相适应的人员、技术、设备和设施等条件。</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（7）近3年举办过全国性的与造血干细胞移植技术相关的专业学术会议或者承担过造血干细胞移植技术国家级继续医学教育项目</w:t>
      </w:r>
      <w:r w:rsidRPr="00C33E7D">
        <w:rPr>
          <w:rFonts w:ascii="仿宋_GB2312" w:eastAsia="仿宋_GB2312" w:hAnsi="宋体" w:hint="eastAsia"/>
          <w:sz w:val="32"/>
          <w:szCs w:val="32"/>
        </w:rPr>
        <w:t>。</w:t>
      </w:r>
    </w:p>
    <w:p w:rsidR="004C3DAE" w:rsidRDefault="004C3DAE" w:rsidP="004C3DAE">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2.培训工作基本要求。</w:t>
      </w:r>
    </w:p>
    <w:p w:rsidR="004C3DAE" w:rsidRDefault="004C3DAE" w:rsidP="004C3DAE">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（1）培训教材和培训大纲满足培训要求，课程设置包括理论学习、临床实践。</w:t>
      </w:r>
    </w:p>
    <w:p w:rsidR="004C3DAE" w:rsidRDefault="004C3DAE" w:rsidP="004C3DAE">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（2）保证接受培训的医师在规定时间内完成规定的培训。</w:t>
      </w:r>
    </w:p>
    <w:p w:rsidR="004C3DAE" w:rsidRDefault="004C3DAE" w:rsidP="004C3DAE">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（3）培训结束后，对接受培训的医师进行考试、考核，并出具是否合格的结论。</w:t>
      </w:r>
    </w:p>
    <w:p w:rsidR="004C3DAE" w:rsidRDefault="004C3DAE" w:rsidP="004C3DAE">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（4）为每位接受培训的医师建立培训及考试、考核档案。</w:t>
      </w:r>
    </w:p>
    <w:p w:rsidR="004C3DAE" w:rsidRDefault="004C3DAE" w:rsidP="004C3DAE">
      <w:pPr>
        <w:adjustRightInd w:val="0"/>
        <w:snapToGrid w:val="0"/>
        <w:spacing w:line="360" w:lineRule="auto"/>
        <w:ind w:firstLineChars="200" w:firstLine="640"/>
        <w:rPr>
          <w:rFonts w:ascii="宋体-PUA" w:eastAsia="宋体-PUA" w:hAnsi="宋体-PUA" w:cs="宋体-PUA"/>
          <w:sz w:val="32"/>
          <w:szCs w:val="32"/>
        </w:rPr>
      </w:pPr>
    </w:p>
    <w:p w:rsidR="004C3DAE" w:rsidRDefault="004C3DAE" w:rsidP="004C3DAE"/>
    <w:p w:rsidR="004C3DAE" w:rsidRDefault="004C3DAE" w:rsidP="004C3DAE"/>
    <w:p w:rsidR="004C3DAE" w:rsidRDefault="004C3DAE" w:rsidP="004C3DAE">
      <w:pPr>
        <w:widowControl/>
        <w:jc w:val="left"/>
      </w:pPr>
    </w:p>
    <w:sectPr w:rsidR="004C3DAE" w:rsidSect="007122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9EA" w:rsidRDefault="005979EA" w:rsidP="004C3DAE">
      <w:r>
        <w:separator/>
      </w:r>
    </w:p>
  </w:endnote>
  <w:endnote w:type="continuationSeparator" w:id="1">
    <w:p w:rsidR="005979EA" w:rsidRDefault="005979EA" w:rsidP="004C3D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宋体-PUA">
    <w:altName w:val="Arial Unicode MS"/>
    <w:charset w:val="86"/>
    <w:family w:val="auto"/>
    <w:pitch w:val="variable"/>
    <w:sig w:usb0="00000000" w:usb1="1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9EA" w:rsidRDefault="005979EA" w:rsidP="004C3DAE">
      <w:r>
        <w:separator/>
      </w:r>
    </w:p>
  </w:footnote>
  <w:footnote w:type="continuationSeparator" w:id="1">
    <w:p w:rsidR="005979EA" w:rsidRDefault="005979EA" w:rsidP="004C3D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708C"/>
    <w:rsid w:val="00017763"/>
    <w:rsid w:val="0016293A"/>
    <w:rsid w:val="002911E9"/>
    <w:rsid w:val="0031564A"/>
    <w:rsid w:val="00374870"/>
    <w:rsid w:val="003A05F9"/>
    <w:rsid w:val="004B0804"/>
    <w:rsid w:val="004C3DAE"/>
    <w:rsid w:val="00550001"/>
    <w:rsid w:val="00573FE3"/>
    <w:rsid w:val="005979EA"/>
    <w:rsid w:val="0071226C"/>
    <w:rsid w:val="00784FFB"/>
    <w:rsid w:val="0078708C"/>
    <w:rsid w:val="007F56A0"/>
    <w:rsid w:val="008605FB"/>
    <w:rsid w:val="00863DB5"/>
    <w:rsid w:val="00864BE5"/>
    <w:rsid w:val="009E7F4F"/>
    <w:rsid w:val="00AC659C"/>
    <w:rsid w:val="00B0198D"/>
    <w:rsid w:val="00B11A00"/>
    <w:rsid w:val="00B74BC1"/>
    <w:rsid w:val="00CD29C9"/>
    <w:rsid w:val="00F924C7"/>
    <w:rsid w:val="00FA7A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3D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3DAE"/>
    <w:rPr>
      <w:sz w:val="18"/>
      <w:szCs w:val="18"/>
    </w:rPr>
  </w:style>
  <w:style w:type="paragraph" w:styleId="a4">
    <w:name w:val="footer"/>
    <w:basedOn w:val="a"/>
    <w:link w:val="Char0"/>
    <w:uiPriority w:val="99"/>
    <w:unhideWhenUsed/>
    <w:rsid w:val="004C3DAE"/>
    <w:pPr>
      <w:tabs>
        <w:tab w:val="center" w:pos="4153"/>
        <w:tab w:val="right" w:pos="8306"/>
      </w:tabs>
      <w:snapToGrid w:val="0"/>
      <w:jc w:val="left"/>
    </w:pPr>
    <w:rPr>
      <w:sz w:val="18"/>
      <w:szCs w:val="18"/>
    </w:rPr>
  </w:style>
  <w:style w:type="character" w:customStyle="1" w:styleId="Char0">
    <w:name w:val="页脚 Char"/>
    <w:basedOn w:val="a0"/>
    <w:link w:val="a4"/>
    <w:uiPriority w:val="99"/>
    <w:rsid w:val="004C3DAE"/>
    <w:rPr>
      <w:sz w:val="18"/>
      <w:szCs w:val="18"/>
    </w:rPr>
  </w:style>
  <w:style w:type="paragraph" w:customStyle="1" w:styleId="1">
    <w:name w:val="列出段落1"/>
    <w:basedOn w:val="a"/>
    <w:uiPriority w:val="34"/>
    <w:qFormat/>
    <w:rsid w:val="004C3DAE"/>
    <w:pPr>
      <w:ind w:firstLineChars="200" w:firstLine="200"/>
    </w:pPr>
    <w:rPr>
      <w:rFonts w:ascii="Calibri" w:eastAsia="宋体" w:hAnsi="Calibri" w:cs="Times New Roman"/>
    </w:rPr>
  </w:style>
  <w:style w:type="paragraph" w:styleId="a5">
    <w:name w:val="Balloon Text"/>
    <w:basedOn w:val="a"/>
    <w:link w:val="Char1"/>
    <w:uiPriority w:val="99"/>
    <w:semiHidden/>
    <w:unhideWhenUsed/>
    <w:rsid w:val="004C3DAE"/>
    <w:rPr>
      <w:sz w:val="18"/>
      <w:szCs w:val="18"/>
    </w:rPr>
  </w:style>
  <w:style w:type="character" w:customStyle="1" w:styleId="Char1">
    <w:name w:val="批注框文本 Char"/>
    <w:basedOn w:val="a0"/>
    <w:link w:val="a5"/>
    <w:uiPriority w:val="99"/>
    <w:semiHidden/>
    <w:rsid w:val="004C3DAE"/>
    <w:rPr>
      <w:sz w:val="18"/>
      <w:szCs w:val="18"/>
    </w:rPr>
  </w:style>
  <w:style w:type="paragraph" w:styleId="a6">
    <w:name w:val="Normal (Web)"/>
    <w:basedOn w:val="a"/>
    <w:uiPriority w:val="99"/>
    <w:semiHidden/>
    <w:unhideWhenUsed/>
    <w:rsid w:val="007F56A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A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3D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3DAE"/>
    <w:rPr>
      <w:sz w:val="18"/>
      <w:szCs w:val="18"/>
    </w:rPr>
  </w:style>
  <w:style w:type="paragraph" w:styleId="a4">
    <w:name w:val="footer"/>
    <w:basedOn w:val="a"/>
    <w:link w:val="Char0"/>
    <w:uiPriority w:val="99"/>
    <w:unhideWhenUsed/>
    <w:rsid w:val="004C3DAE"/>
    <w:pPr>
      <w:tabs>
        <w:tab w:val="center" w:pos="4153"/>
        <w:tab w:val="right" w:pos="8306"/>
      </w:tabs>
      <w:snapToGrid w:val="0"/>
      <w:jc w:val="left"/>
    </w:pPr>
    <w:rPr>
      <w:sz w:val="18"/>
      <w:szCs w:val="18"/>
    </w:rPr>
  </w:style>
  <w:style w:type="character" w:customStyle="1" w:styleId="Char0">
    <w:name w:val="页脚 Char"/>
    <w:basedOn w:val="a0"/>
    <w:link w:val="a4"/>
    <w:uiPriority w:val="99"/>
    <w:rsid w:val="004C3DAE"/>
    <w:rPr>
      <w:sz w:val="18"/>
      <w:szCs w:val="18"/>
    </w:rPr>
  </w:style>
  <w:style w:type="paragraph" w:customStyle="1" w:styleId="1">
    <w:name w:val="列出段落1"/>
    <w:basedOn w:val="a"/>
    <w:uiPriority w:val="34"/>
    <w:qFormat/>
    <w:rsid w:val="004C3DAE"/>
    <w:pPr>
      <w:ind w:firstLineChars="200" w:firstLine="200"/>
    </w:pPr>
    <w:rPr>
      <w:rFonts w:ascii="Calibri" w:eastAsia="宋体" w:hAnsi="Calibri" w:cs="Times New Roman"/>
    </w:rPr>
  </w:style>
  <w:style w:type="paragraph" w:styleId="a5">
    <w:name w:val="Balloon Text"/>
    <w:basedOn w:val="a"/>
    <w:link w:val="Char1"/>
    <w:uiPriority w:val="99"/>
    <w:semiHidden/>
    <w:unhideWhenUsed/>
    <w:rsid w:val="004C3DAE"/>
    <w:rPr>
      <w:sz w:val="18"/>
      <w:szCs w:val="18"/>
    </w:rPr>
  </w:style>
  <w:style w:type="character" w:customStyle="1" w:styleId="Char1">
    <w:name w:val="批注框文本 Char"/>
    <w:basedOn w:val="a0"/>
    <w:link w:val="a5"/>
    <w:uiPriority w:val="99"/>
    <w:semiHidden/>
    <w:rsid w:val="004C3DAE"/>
    <w:rPr>
      <w:sz w:val="18"/>
      <w:szCs w:val="18"/>
    </w:rPr>
  </w:style>
</w:styles>
</file>

<file path=word/webSettings.xml><?xml version="1.0" encoding="utf-8"?>
<w:webSettings xmlns:r="http://schemas.openxmlformats.org/officeDocument/2006/relationships" xmlns:w="http://schemas.openxmlformats.org/wordprocessingml/2006/main">
  <w:divs>
    <w:div w:id="573468203">
      <w:bodyDiv w:val="1"/>
      <w:marLeft w:val="0"/>
      <w:marRight w:val="0"/>
      <w:marTop w:val="0"/>
      <w:marBottom w:val="0"/>
      <w:divBdr>
        <w:top w:val="none" w:sz="0" w:space="0" w:color="auto"/>
        <w:left w:val="none" w:sz="0" w:space="0" w:color="auto"/>
        <w:bottom w:val="none" w:sz="0" w:space="0" w:color="auto"/>
        <w:right w:val="none" w:sz="0" w:space="0" w:color="auto"/>
      </w:divBdr>
      <w:divsChild>
        <w:div w:id="1065955846">
          <w:marLeft w:val="0"/>
          <w:marRight w:val="0"/>
          <w:marTop w:val="0"/>
          <w:marBottom w:val="0"/>
          <w:divBdr>
            <w:top w:val="none" w:sz="0" w:space="0" w:color="auto"/>
            <w:left w:val="none" w:sz="0" w:space="0" w:color="auto"/>
            <w:bottom w:val="none" w:sz="0" w:space="0" w:color="auto"/>
            <w:right w:val="none" w:sz="0" w:space="0" w:color="auto"/>
          </w:divBdr>
          <w:divsChild>
            <w:div w:id="1095979282">
              <w:marLeft w:val="0"/>
              <w:marRight w:val="0"/>
              <w:marTop w:val="217"/>
              <w:marBottom w:val="0"/>
              <w:divBdr>
                <w:top w:val="single" w:sz="6" w:space="12" w:color="E6E6E6"/>
                <w:left w:val="single" w:sz="6" w:space="16" w:color="E6E6E6"/>
                <w:bottom w:val="single" w:sz="6" w:space="14" w:color="E6E6E6"/>
                <w:right w:val="single" w:sz="6" w:space="14" w:color="E6E6E6"/>
              </w:divBdr>
              <w:divsChild>
                <w:div w:id="213405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80208">
      <w:bodyDiv w:val="1"/>
      <w:marLeft w:val="0"/>
      <w:marRight w:val="0"/>
      <w:marTop w:val="0"/>
      <w:marBottom w:val="0"/>
      <w:divBdr>
        <w:top w:val="none" w:sz="0" w:space="0" w:color="auto"/>
        <w:left w:val="none" w:sz="0" w:space="0" w:color="auto"/>
        <w:bottom w:val="none" w:sz="0" w:space="0" w:color="auto"/>
        <w:right w:val="none" w:sz="0" w:space="0" w:color="auto"/>
      </w:divBdr>
      <w:divsChild>
        <w:div w:id="1981884426">
          <w:marLeft w:val="0"/>
          <w:marRight w:val="0"/>
          <w:marTop w:val="0"/>
          <w:marBottom w:val="0"/>
          <w:divBdr>
            <w:top w:val="none" w:sz="0" w:space="0" w:color="auto"/>
            <w:left w:val="none" w:sz="0" w:space="0" w:color="auto"/>
            <w:bottom w:val="none" w:sz="0" w:space="0" w:color="auto"/>
            <w:right w:val="none" w:sz="0" w:space="0" w:color="auto"/>
          </w:divBdr>
          <w:divsChild>
            <w:div w:id="67770112">
              <w:marLeft w:val="0"/>
              <w:marRight w:val="0"/>
              <w:marTop w:val="217"/>
              <w:marBottom w:val="0"/>
              <w:divBdr>
                <w:top w:val="single" w:sz="6" w:space="12" w:color="E6E6E6"/>
                <w:left w:val="single" w:sz="6" w:space="16" w:color="E6E6E6"/>
                <w:bottom w:val="single" w:sz="6" w:space="14" w:color="E6E6E6"/>
                <w:right w:val="single" w:sz="6" w:space="14" w:color="E6E6E6"/>
              </w:divBdr>
              <w:divsChild>
                <w:div w:id="332608088">
                  <w:marLeft w:val="0"/>
                  <w:marRight w:val="0"/>
                  <w:marTop w:val="245"/>
                  <w:marBottom w:val="0"/>
                  <w:divBdr>
                    <w:top w:val="none" w:sz="0" w:space="0" w:color="auto"/>
                    <w:left w:val="none" w:sz="0" w:space="0" w:color="auto"/>
                    <w:bottom w:val="single" w:sz="6" w:space="0" w:color="E5E5E5"/>
                    <w:right w:val="none" w:sz="0" w:space="0" w:color="auto"/>
                  </w:divBdr>
                  <w:divsChild>
                    <w:div w:id="1870140441">
                      <w:marLeft w:val="0"/>
                      <w:marRight w:val="0"/>
                      <w:marTop w:val="0"/>
                      <w:marBottom w:val="0"/>
                      <w:divBdr>
                        <w:top w:val="none" w:sz="0" w:space="0" w:color="auto"/>
                        <w:left w:val="none" w:sz="0" w:space="0" w:color="auto"/>
                        <w:bottom w:val="none" w:sz="0" w:space="0" w:color="auto"/>
                        <w:right w:val="none" w:sz="0" w:space="0" w:color="auto"/>
                      </w:divBdr>
                    </w:div>
                  </w:divsChild>
                </w:div>
                <w:div w:id="2088187050">
                  <w:marLeft w:val="0"/>
                  <w:marRight w:val="0"/>
                  <w:marTop w:val="0"/>
                  <w:marBottom w:val="0"/>
                  <w:divBdr>
                    <w:top w:val="none" w:sz="0" w:space="0" w:color="auto"/>
                    <w:left w:val="none" w:sz="0" w:space="0" w:color="auto"/>
                    <w:bottom w:val="none" w:sz="0" w:space="0" w:color="auto"/>
                    <w:right w:val="none" w:sz="0" w:space="0" w:color="auto"/>
                  </w:divBdr>
                  <w:divsChild>
                    <w:div w:id="178357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579</Words>
  <Characters>3306</Characters>
  <Application>Microsoft Office Word</Application>
  <DocSecurity>0</DocSecurity>
  <Lines>27</Lines>
  <Paragraphs>7</Paragraphs>
  <ScaleCrop>false</ScaleCrop>
  <Company>中华人民共和国卫生部</Company>
  <LinksUpToDate>false</LinksUpToDate>
  <CharactersWithSpaces>3878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6</cp:revision>
  <dcterms:created xsi:type="dcterms:W3CDTF">2016-09-19T08:34:00Z</dcterms:created>
  <dcterms:modified xsi:type="dcterms:W3CDTF">2017-07-11T01:00:00Z</dcterms:modified>
</cp:coreProperties>
</file>